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D27" w:rsidRDefault="00C97D27" w:rsidP="00C97D27">
      <w:r w:rsidRPr="00C97D27">
        <w:rPr>
          <w:noProof/>
          <w:lang w:eastAsia="pt-BR"/>
        </w:rPr>
        <w:drawing>
          <wp:inline distT="0" distB="0" distL="0" distR="0">
            <wp:extent cx="5397500" cy="760095"/>
            <wp:effectExtent l="19050" t="0" r="0" b="0"/>
            <wp:docPr id="1" name="Imagem 3" descr="Carta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Carta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D27" w:rsidRPr="0050154C" w:rsidRDefault="00C97D27" w:rsidP="00A57AB4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54C">
        <w:rPr>
          <w:rFonts w:ascii="Times New Roman" w:hAnsi="Times New Roman" w:cs="Times New Roman"/>
          <w:b/>
          <w:sz w:val="28"/>
          <w:szCs w:val="28"/>
        </w:rPr>
        <w:t>Recomendações importantes para encaminhamento de PBA - Projeto Básico de Arquitetura – Vigilância Sanitária</w:t>
      </w:r>
    </w:p>
    <w:p w:rsidR="0050154C" w:rsidRDefault="0050154C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 xml:space="preserve">O interessado em iniciar atividades de comércio ou prestação de serviços nas atividades fiscalizadas pela Vigilância Sanitária de Blumenau deve observar primeiramente o seguinte: </w:t>
      </w: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 xml:space="preserve">- Consultar a </w:t>
      </w:r>
      <w:r w:rsidRPr="00A57AB4">
        <w:rPr>
          <w:rFonts w:ascii="Times New Roman" w:hAnsi="Times New Roman" w:cs="Times New Roman"/>
          <w:b/>
          <w:sz w:val="28"/>
          <w:szCs w:val="28"/>
        </w:rPr>
        <w:t>PORTARIA Nº 993 de 11/12/2019</w:t>
      </w:r>
      <w:r w:rsidRPr="0050154C">
        <w:rPr>
          <w:rFonts w:ascii="Times New Roman" w:hAnsi="Times New Roman" w:cs="Times New Roman"/>
          <w:sz w:val="28"/>
          <w:szCs w:val="28"/>
        </w:rPr>
        <w:t xml:space="preserve"> da SECRETARIA ESTADUAL DA SAÚDE/ SUPERINTENDÊNCIA DE VIGILÂNCIA EM SAÚDE/ DIRETORIA DE VIGILÂNCIA SANITÁRIA para verificar se o estabelecimento de saúde ou de interesse da saúde está dispensado de análise de projeto.</w:t>
      </w: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 xml:space="preserve">- </w:t>
      </w:r>
      <w:r w:rsidRPr="0050154C">
        <w:rPr>
          <w:rFonts w:ascii="Times New Roman" w:hAnsi="Times New Roman" w:cs="Times New Roman"/>
          <w:sz w:val="28"/>
          <w:szCs w:val="28"/>
          <w:u w:val="single"/>
        </w:rPr>
        <w:t xml:space="preserve">Se estiver </w:t>
      </w:r>
      <w:r w:rsidRPr="0050154C">
        <w:rPr>
          <w:rFonts w:ascii="Times New Roman" w:hAnsi="Times New Roman" w:cs="Times New Roman"/>
          <w:b/>
          <w:sz w:val="28"/>
          <w:szCs w:val="28"/>
          <w:u w:val="single"/>
        </w:rPr>
        <w:t>dispensado</w:t>
      </w:r>
      <w:r w:rsidRPr="0050154C">
        <w:rPr>
          <w:rFonts w:ascii="Times New Roman" w:hAnsi="Times New Roman" w:cs="Times New Roman"/>
          <w:sz w:val="28"/>
          <w:szCs w:val="28"/>
        </w:rPr>
        <w:t xml:space="preserve">: enviar por e-mail para </w:t>
      </w:r>
      <w:hyperlink r:id="rId6" w:history="1">
        <w:r w:rsidRPr="0050154C">
          <w:rPr>
            <w:rStyle w:val="Hyperlink"/>
            <w:rFonts w:ascii="Times New Roman" w:hAnsi="Times New Roman" w:cs="Times New Roman"/>
            <w:sz w:val="28"/>
            <w:szCs w:val="28"/>
          </w:rPr>
          <w:t>analiseprojetos.visa@blumenau.sc.gov.br</w:t>
        </w:r>
      </w:hyperlink>
      <w:r w:rsidRPr="0050154C">
        <w:rPr>
          <w:rFonts w:ascii="Times New Roman" w:hAnsi="Times New Roman" w:cs="Times New Roman"/>
          <w:sz w:val="28"/>
          <w:szCs w:val="28"/>
        </w:rPr>
        <w:t xml:space="preserve"> o nome do estabelecimento, CPF ou CNPJ e o endereço.</w:t>
      </w:r>
    </w:p>
    <w:p w:rsidR="0050154C" w:rsidRPr="0050154C" w:rsidRDefault="0050154C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 xml:space="preserve">- </w:t>
      </w:r>
      <w:r w:rsidRPr="0050154C">
        <w:rPr>
          <w:rFonts w:ascii="Times New Roman" w:hAnsi="Times New Roman" w:cs="Times New Roman"/>
          <w:sz w:val="28"/>
          <w:szCs w:val="28"/>
          <w:u w:val="single"/>
        </w:rPr>
        <w:t xml:space="preserve">Se </w:t>
      </w:r>
      <w:r w:rsidRPr="0050154C">
        <w:rPr>
          <w:rFonts w:ascii="Times New Roman" w:hAnsi="Times New Roman" w:cs="Times New Roman"/>
          <w:b/>
          <w:sz w:val="28"/>
          <w:szCs w:val="28"/>
          <w:u w:val="single"/>
        </w:rPr>
        <w:t>não</w:t>
      </w:r>
      <w:r w:rsidRPr="0050154C">
        <w:rPr>
          <w:rFonts w:ascii="Times New Roman" w:hAnsi="Times New Roman" w:cs="Times New Roman"/>
          <w:sz w:val="28"/>
          <w:szCs w:val="28"/>
          <w:u w:val="single"/>
        </w:rPr>
        <w:t xml:space="preserve"> estiver </w:t>
      </w:r>
      <w:r w:rsidRPr="0050154C">
        <w:rPr>
          <w:rFonts w:ascii="Times New Roman" w:hAnsi="Times New Roman" w:cs="Times New Roman"/>
          <w:b/>
          <w:sz w:val="28"/>
          <w:szCs w:val="28"/>
          <w:u w:val="single"/>
        </w:rPr>
        <w:t>dispensado</w:t>
      </w:r>
      <w:r w:rsidRPr="0050154C">
        <w:rPr>
          <w:rFonts w:ascii="Times New Roman" w:hAnsi="Times New Roman" w:cs="Times New Roman"/>
          <w:sz w:val="28"/>
          <w:szCs w:val="28"/>
        </w:rPr>
        <w:t xml:space="preserve">: apresentar planta baixa do estabelecimento e relatório técnico (conforme RDC </w:t>
      </w:r>
      <w:proofErr w:type="spellStart"/>
      <w:r w:rsidRPr="0050154C">
        <w:rPr>
          <w:rFonts w:ascii="Times New Roman" w:hAnsi="Times New Roman" w:cs="Times New Roman"/>
          <w:sz w:val="28"/>
          <w:szCs w:val="28"/>
        </w:rPr>
        <w:t>Anvisa</w:t>
      </w:r>
      <w:proofErr w:type="spellEnd"/>
      <w:r w:rsidRPr="0050154C">
        <w:rPr>
          <w:rFonts w:ascii="Times New Roman" w:hAnsi="Times New Roman" w:cs="Times New Roman"/>
          <w:sz w:val="28"/>
          <w:szCs w:val="28"/>
        </w:rPr>
        <w:t xml:space="preserve"> 51/2011) na Praça do Empreendedor (Shopping Park Europeu), em caso de </w:t>
      </w:r>
      <w:r w:rsidRPr="0050154C">
        <w:rPr>
          <w:rFonts w:ascii="Times New Roman" w:hAnsi="Times New Roman" w:cs="Times New Roman"/>
          <w:b/>
          <w:sz w:val="28"/>
          <w:szCs w:val="28"/>
        </w:rPr>
        <w:t>CNPJ</w:t>
      </w:r>
      <w:r w:rsidRPr="0050154C">
        <w:rPr>
          <w:rFonts w:ascii="Times New Roman" w:hAnsi="Times New Roman" w:cs="Times New Roman"/>
          <w:sz w:val="28"/>
          <w:szCs w:val="28"/>
        </w:rPr>
        <w:t xml:space="preserve"> ou na Praça do Cidadão se for </w:t>
      </w:r>
      <w:r w:rsidRPr="0050154C">
        <w:rPr>
          <w:rFonts w:ascii="Times New Roman" w:hAnsi="Times New Roman" w:cs="Times New Roman"/>
          <w:b/>
          <w:sz w:val="28"/>
          <w:szCs w:val="28"/>
        </w:rPr>
        <w:t>CPF</w:t>
      </w:r>
      <w:r w:rsidRPr="0050154C">
        <w:rPr>
          <w:rFonts w:ascii="Times New Roman" w:hAnsi="Times New Roman" w:cs="Times New Roman"/>
          <w:sz w:val="28"/>
          <w:szCs w:val="28"/>
        </w:rPr>
        <w:t>.</w:t>
      </w: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154C">
        <w:rPr>
          <w:rFonts w:ascii="Times New Roman" w:hAnsi="Times New Roman" w:cs="Times New Roman"/>
          <w:b/>
          <w:sz w:val="28"/>
          <w:szCs w:val="28"/>
        </w:rPr>
        <w:t>VERIFICAÇÕES IMPORTANTES</w:t>
      </w: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 xml:space="preserve">1. Verificar se o imóvel possui </w:t>
      </w:r>
      <w:r w:rsidRPr="0050154C">
        <w:rPr>
          <w:rFonts w:ascii="Times New Roman" w:hAnsi="Times New Roman" w:cs="Times New Roman"/>
          <w:b/>
          <w:sz w:val="28"/>
          <w:szCs w:val="28"/>
        </w:rPr>
        <w:t>acessibilidade</w:t>
      </w:r>
      <w:r w:rsidRPr="0050154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 xml:space="preserve">2. Verificar se o imóvel está com a </w:t>
      </w:r>
      <w:r w:rsidRPr="0050154C">
        <w:rPr>
          <w:rFonts w:ascii="Times New Roman" w:hAnsi="Times New Roman" w:cs="Times New Roman"/>
          <w:b/>
          <w:sz w:val="28"/>
          <w:szCs w:val="28"/>
        </w:rPr>
        <w:t>documentação regularizada</w:t>
      </w:r>
      <w:r w:rsidRPr="0050154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 xml:space="preserve">3. Verificar a </w:t>
      </w:r>
      <w:r w:rsidRPr="0050154C">
        <w:rPr>
          <w:rFonts w:ascii="Times New Roman" w:hAnsi="Times New Roman" w:cs="Times New Roman"/>
          <w:b/>
          <w:sz w:val="28"/>
          <w:szCs w:val="28"/>
        </w:rPr>
        <w:t>legislação sanitária</w:t>
      </w:r>
      <w:r w:rsidRPr="0050154C">
        <w:rPr>
          <w:rFonts w:ascii="Times New Roman" w:hAnsi="Times New Roman" w:cs="Times New Roman"/>
          <w:sz w:val="28"/>
          <w:szCs w:val="28"/>
        </w:rPr>
        <w:t xml:space="preserve"> pertinente à atividade que será desenvolvida e se o imóvel atenderá as exigências da lei; </w:t>
      </w: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 xml:space="preserve">4. Verificar se o </w:t>
      </w:r>
      <w:r w:rsidRPr="0050154C">
        <w:rPr>
          <w:rFonts w:ascii="Times New Roman" w:hAnsi="Times New Roman" w:cs="Times New Roman"/>
          <w:b/>
          <w:sz w:val="28"/>
          <w:szCs w:val="28"/>
        </w:rPr>
        <w:t>zoneamento</w:t>
      </w:r>
      <w:r w:rsidRPr="0050154C">
        <w:rPr>
          <w:rFonts w:ascii="Times New Roman" w:hAnsi="Times New Roman" w:cs="Times New Roman"/>
          <w:sz w:val="28"/>
          <w:szCs w:val="28"/>
        </w:rPr>
        <w:t xml:space="preserve"> permite o desenvolvimento da atividade a ser desenvolvida (</w:t>
      </w:r>
      <w:r w:rsidRPr="0050154C">
        <w:rPr>
          <w:rFonts w:ascii="Times New Roman" w:hAnsi="Times New Roman" w:cs="Times New Roman"/>
          <w:b/>
          <w:sz w:val="28"/>
          <w:szCs w:val="28"/>
        </w:rPr>
        <w:t>Consulta Prévia/Viabilidade</w:t>
      </w:r>
      <w:r w:rsidRPr="0050154C">
        <w:rPr>
          <w:rFonts w:ascii="Times New Roman" w:hAnsi="Times New Roman" w:cs="Times New Roman"/>
          <w:sz w:val="28"/>
          <w:szCs w:val="28"/>
        </w:rPr>
        <w:t xml:space="preserve">) na PMB. </w:t>
      </w: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 xml:space="preserve">Se o Empreendimento for: </w:t>
      </w: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>• Obra nova;</w:t>
      </w: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 xml:space="preserve">• Reforma com ampliação de Área e ou </w:t>
      </w: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 xml:space="preserve">• Mudança de uso (Residencial x Comercial); </w:t>
      </w: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lastRenderedPageBreak/>
        <w:t>• Reforma com alterações estruturais;</w:t>
      </w: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>• Não tiver projeto aprovado e Habite-se na PMB;</w:t>
      </w:r>
    </w:p>
    <w:p w:rsidR="00C97D27" w:rsidRPr="0050154C" w:rsidRDefault="00C97D27" w:rsidP="00A57AB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>• Edificação Tombada pelo Patrimônio Histórico;</w:t>
      </w:r>
    </w:p>
    <w:p w:rsidR="00C97D27" w:rsidRPr="0050154C" w:rsidRDefault="00C97D27" w:rsidP="0050154C">
      <w:pPr>
        <w:jc w:val="both"/>
        <w:rPr>
          <w:rFonts w:ascii="Times New Roman" w:hAnsi="Times New Roman" w:cs="Times New Roman"/>
          <w:sz w:val="28"/>
          <w:szCs w:val="28"/>
        </w:rPr>
      </w:pPr>
      <w:r w:rsidRPr="0050154C">
        <w:rPr>
          <w:rFonts w:ascii="Times New Roman" w:hAnsi="Times New Roman" w:cs="Times New Roman"/>
          <w:sz w:val="28"/>
          <w:szCs w:val="28"/>
        </w:rPr>
        <w:t xml:space="preserve">O projeto deve ser encaminhado PRIMEIRO para Aprovação e habite-se na SEPLAN/PMB e somente após </w:t>
      </w:r>
      <w:r w:rsidR="00FD08B2">
        <w:rPr>
          <w:rFonts w:ascii="Times New Roman" w:hAnsi="Times New Roman" w:cs="Times New Roman"/>
          <w:sz w:val="28"/>
          <w:szCs w:val="28"/>
        </w:rPr>
        <w:t>a</w:t>
      </w:r>
      <w:r w:rsidRPr="0050154C">
        <w:rPr>
          <w:rFonts w:ascii="Times New Roman" w:hAnsi="Times New Roman" w:cs="Times New Roman"/>
          <w:sz w:val="28"/>
          <w:szCs w:val="28"/>
        </w:rPr>
        <w:t xml:space="preserve"> Aprovação ser encaminhado novo Processo para Análise de Projeto na VISA; </w:t>
      </w:r>
    </w:p>
    <w:p w:rsidR="00C97D27" w:rsidRPr="00A57AB4" w:rsidRDefault="00C97D27" w:rsidP="00A57AB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57AB4">
        <w:rPr>
          <w:rFonts w:ascii="Times New Roman" w:hAnsi="Times New Roman" w:cs="Times New Roman"/>
          <w:sz w:val="28"/>
          <w:szCs w:val="28"/>
        </w:rPr>
        <w:t xml:space="preserve">- Ao protocolar um Processo, Registrar o ENDEREÇO ELETRÔNICO (e-mail) para contato; </w:t>
      </w:r>
    </w:p>
    <w:p w:rsidR="00C97D27" w:rsidRPr="00A57AB4" w:rsidRDefault="00C97D27" w:rsidP="00A57AB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57AB4">
        <w:rPr>
          <w:rFonts w:ascii="Times New Roman" w:hAnsi="Times New Roman" w:cs="Times New Roman"/>
          <w:sz w:val="28"/>
          <w:szCs w:val="28"/>
        </w:rPr>
        <w:t>- Guardar (escrever, arquivar) o NÚMERO do Processo</w:t>
      </w:r>
      <w:r w:rsidR="0050154C" w:rsidRPr="00A57AB4">
        <w:rPr>
          <w:rFonts w:ascii="Times New Roman" w:hAnsi="Times New Roman" w:cs="Times New Roman"/>
          <w:sz w:val="28"/>
          <w:szCs w:val="28"/>
        </w:rPr>
        <w:t xml:space="preserve"> </w:t>
      </w:r>
      <w:r w:rsidRPr="00A57AB4">
        <w:rPr>
          <w:rFonts w:ascii="Times New Roman" w:hAnsi="Times New Roman" w:cs="Times New Roman"/>
          <w:sz w:val="28"/>
          <w:szCs w:val="28"/>
        </w:rPr>
        <w:t xml:space="preserve">para acompanhamento e consulta futura; </w:t>
      </w:r>
    </w:p>
    <w:p w:rsidR="00A57AB4" w:rsidRDefault="00C97D27" w:rsidP="00A57AB4">
      <w:pPr>
        <w:ind w:left="360"/>
        <w:rPr>
          <w:rFonts w:ascii="Times New Roman" w:hAnsi="Times New Roman" w:cs="Times New Roman"/>
          <w:sz w:val="28"/>
          <w:szCs w:val="28"/>
        </w:rPr>
      </w:pPr>
      <w:r w:rsidRPr="00A57AB4">
        <w:rPr>
          <w:rFonts w:ascii="Times New Roman" w:hAnsi="Times New Roman" w:cs="Times New Roman"/>
          <w:sz w:val="28"/>
          <w:szCs w:val="28"/>
        </w:rPr>
        <w:t>- A relação de Documentos Necessários para a Análise de</w:t>
      </w:r>
      <w:r w:rsidR="00FD08B2" w:rsidRPr="00A57AB4">
        <w:rPr>
          <w:rFonts w:ascii="Times New Roman" w:hAnsi="Times New Roman" w:cs="Times New Roman"/>
          <w:sz w:val="28"/>
          <w:szCs w:val="28"/>
        </w:rPr>
        <w:t xml:space="preserve"> </w:t>
      </w:r>
      <w:r w:rsidRPr="00A57AB4">
        <w:rPr>
          <w:rFonts w:ascii="Times New Roman" w:hAnsi="Times New Roman" w:cs="Times New Roman"/>
          <w:sz w:val="28"/>
          <w:szCs w:val="28"/>
        </w:rPr>
        <w:t xml:space="preserve">Projetos de EAS e EIS está disponível no site da Prefeitura Municipal de Blumenau – </w:t>
      </w:r>
      <w:hyperlink r:id="rId7" w:history="1">
        <w:r w:rsidR="00A57AB4">
          <w:rPr>
            <w:rStyle w:val="Hyperlink"/>
          </w:rPr>
          <w:t>Vigilâncias - Prefeitura de Blumenau</w:t>
        </w:r>
      </w:hyperlink>
      <w:r w:rsidRPr="00A57AB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97D27" w:rsidRPr="00A57AB4" w:rsidRDefault="00A57AB4" w:rsidP="00A57AB4">
      <w:pPr>
        <w:ind w:left="360"/>
        <w:rPr>
          <w:rFonts w:ascii="Times New Roman" w:hAnsi="Times New Roman" w:cs="Times New Roman"/>
          <w:sz w:val="28"/>
          <w:szCs w:val="28"/>
        </w:rPr>
      </w:pPr>
      <w:r w:rsidRPr="00A57AB4">
        <w:rPr>
          <w:rFonts w:ascii="Times New Roman" w:hAnsi="Times New Roman" w:cs="Times New Roman"/>
          <w:sz w:val="20"/>
          <w:szCs w:val="20"/>
        </w:rPr>
        <w:t>www.blumenau.sc.gov.br/secretarias/secretaria-de-saude/pagina/estrutura-semus/vigilancias-semus</w:t>
      </w:r>
    </w:p>
    <w:p w:rsidR="00C97D27" w:rsidRPr="00A57AB4" w:rsidRDefault="00C97D27" w:rsidP="00A57AB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57AB4">
        <w:rPr>
          <w:rFonts w:ascii="Times New Roman" w:hAnsi="Times New Roman" w:cs="Times New Roman"/>
          <w:sz w:val="28"/>
          <w:szCs w:val="28"/>
        </w:rPr>
        <w:t>- Os itens e critérios referentes á ACESSIBILIDADE</w:t>
      </w:r>
      <w:r w:rsidR="00A57AB4">
        <w:rPr>
          <w:rFonts w:ascii="Times New Roman" w:hAnsi="Times New Roman" w:cs="Times New Roman"/>
          <w:sz w:val="28"/>
          <w:szCs w:val="28"/>
        </w:rPr>
        <w:t xml:space="preserve"> </w:t>
      </w:r>
      <w:r w:rsidRPr="00A57AB4">
        <w:rPr>
          <w:rFonts w:ascii="Times New Roman" w:hAnsi="Times New Roman" w:cs="Times New Roman"/>
          <w:sz w:val="28"/>
          <w:szCs w:val="28"/>
        </w:rPr>
        <w:t>(Calcadas, Acessos, Vagas de Estacionamento/PNE, Corredores</w:t>
      </w:r>
      <w:r w:rsidR="00A57AB4">
        <w:rPr>
          <w:rFonts w:ascii="Times New Roman" w:hAnsi="Times New Roman" w:cs="Times New Roman"/>
          <w:sz w:val="28"/>
          <w:szCs w:val="28"/>
        </w:rPr>
        <w:t xml:space="preserve"> </w:t>
      </w:r>
      <w:r w:rsidRPr="00A57AB4">
        <w:rPr>
          <w:rFonts w:ascii="Times New Roman" w:hAnsi="Times New Roman" w:cs="Times New Roman"/>
          <w:sz w:val="28"/>
          <w:szCs w:val="28"/>
        </w:rPr>
        <w:t xml:space="preserve">e Circulações, Escadas, Rampas, </w:t>
      </w:r>
      <w:proofErr w:type="spellStart"/>
      <w:r w:rsidRPr="00A57AB4">
        <w:rPr>
          <w:rFonts w:ascii="Times New Roman" w:hAnsi="Times New Roman" w:cs="Times New Roman"/>
          <w:sz w:val="28"/>
          <w:szCs w:val="28"/>
        </w:rPr>
        <w:t>WC´</w:t>
      </w:r>
      <w:proofErr w:type="spellEnd"/>
      <w:r w:rsidRPr="00A57AB4">
        <w:rPr>
          <w:rFonts w:ascii="Times New Roman" w:hAnsi="Times New Roman" w:cs="Times New Roman"/>
          <w:sz w:val="28"/>
          <w:szCs w:val="28"/>
        </w:rPr>
        <w:t>s/PNE, Pisos, Portas, Sinalizações, corrimãos, Equipamentos entre outros) são</w:t>
      </w:r>
      <w:r w:rsidR="00A57AB4">
        <w:rPr>
          <w:rFonts w:ascii="Times New Roman" w:hAnsi="Times New Roman" w:cs="Times New Roman"/>
          <w:sz w:val="28"/>
          <w:szCs w:val="28"/>
        </w:rPr>
        <w:t xml:space="preserve"> </w:t>
      </w:r>
      <w:r w:rsidRPr="00A57AB4">
        <w:rPr>
          <w:rFonts w:ascii="Times New Roman" w:hAnsi="Times New Roman" w:cs="Times New Roman"/>
          <w:sz w:val="28"/>
          <w:szCs w:val="28"/>
        </w:rPr>
        <w:t>requeridos para a edificação como um todo, abrangendo Áreas de uso comum bem como para as Área</w:t>
      </w:r>
      <w:r w:rsidR="00A57AB4">
        <w:rPr>
          <w:rFonts w:ascii="Times New Roman" w:hAnsi="Times New Roman" w:cs="Times New Roman"/>
          <w:sz w:val="28"/>
          <w:szCs w:val="28"/>
        </w:rPr>
        <w:t>s</w:t>
      </w:r>
      <w:r w:rsidRPr="00A57AB4">
        <w:rPr>
          <w:rFonts w:ascii="Times New Roman" w:hAnsi="Times New Roman" w:cs="Times New Roman"/>
          <w:sz w:val="28"/>
          <w:szCs w:val="28"/>
        </w:rPr>
        <w:t xml:space="preserve"> Privativas internas do empreendimento. </w:t>
      </w:r>
    </w:p>
    <w:p w:rsidR="00C97D27" w:rsidRPr="00A57AB4" w:rsidRDefault="00C97D27" w:rsidP="00A57AB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57AB4">
        <w:rPr>
          <w:rFonts w:ascii="Times New Roman" w:hAnsi="Times New Roman" w:cs="Times New Roman"/>
          <w:sz w:val="28"/>
          <w:szCs w:val="28"/>
        </w:rPr>
        <w:t xml:space="preserve">- A VISA Poderá solicitar documentações complementares. </w:t>
      </w:r>
    </w:p>
    <w:p w:rsidR="00C97D27" w:rsidRPr="00A57AB4" w:rsidRDefault="00C97D27" w:rsidP="00A57AB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57AB4">
        <w:rPr>
          <w:rFonts w:ascii="Times New Roman" w:hAnsi="Times New Roman" w:cs="Times New Roman"/>
          <w:sz w:val="28"/>
          <w:szCs w:val="28"/>
        </w:rPr>
        <w:t xml:space="preserve">- A Nomenclatura e codificação a serem utilizadas devem ser a indicada pelas Normas, para toda a documentação a ser apresentada. </w:t>
      </w:r>
    </w:p>
    <w:p w:rsidR="00C97D27" w:rsidRPr="00A57AB4" w:rsidRDefault="00C97D27" w:rsidP="00A57AB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57AB4">
        <w:rPr>
          <w:rFonts w:ascii="Times New Roman" w:hAnsi="Times New Roman" w:cs="Times New Roman"/>
          <w:sz w:val="28"/>
          <w:szCs w:val="28"/>
        </w:rPr>
        <w:t>- Legislação de apoio: RDC-50/02, RDC-</w:t>
      </w:r>
      <w:r w:rsidR="00FD08B2" w:rsidRPr="00A57AB4">
        <w:rPr>
          <w:rFonts w:ascii="Times New Roman" w:hAnsi="Times New Roman" w:cs="Times New Roman"/>
          <w:sz w:val="28"/>
          <w:szCs w:val="28"/>
        </w:rPr>
        <w:t>51</w:t>
      </w:r>
      <w:r w:rsidRPr="00A57AB4">
        <w:rPr>
          <w:rFonts w:ascii="Times New Roman" w:hAnsi="Times New Roman" w:cs="Times New Roman"/>
          <w:sz w:val="28"/>
          <w:szCs w:val="28"/>
        </w:rPr>
        <w:t>/</w:t>
      </w:r>
      <w:r w:rsidR="00FD08B2" w:rsidRPr="00A57AB4">
        <w:rPr>
          <w:rFonts w:ascii="Times New Roman" w:hAnsi="Times New Roman" w:cs="Times New Roman"/>
          <w:sz w:val="28"/>
          <w:szCs w:val="28"/>
        </w:rPr>
        <w:t>11</w:t>
      </w:r>
      <w:r w:rsidRPr="00A57AB4">
        <w:rPr>
          <w:rFonts w:ascii="Times New Roman" w:hAnsi="Times New Roman" w:cs="Times New Roman"/>
          <w:sz w:val="28"/>
          <w:szCs w:val="28"/>
        </w:rPr>
        <w:t>, RDC306</w:t>
      </w:r>
      <w:r w:rsidR="00FD08B2" w:rsidRPr="00A57AB4">
        <w:rPr>
          <w:rFonts w:ascii="Times New Roman" w:hAnsi="Times New Roman" w:cs="Times New Roman"/>
          <w:sz w:val="28"/>
          <w:szCs w:val="28"/>
        </w:rPr>
        <w:t>/04</w:t>
      </w:r>
      <w:r w:rsidRPr="00A57AB4">
        <w:rPr>
          <w:rFonts w:ascii="Times New Roman" w:hAnsi="Times New Roman" w:cs="Times New Roman"/>
          <w:sz w:val="28"/>
          <w:szCs w:val="28"/>
        </w:rPr>
        <w:t>, NBR9050, RDC-283/2005, DEC.</w:t>
      </w:r>
      <w:r w:rsidR="00FD08B2" w:rsidRPr="00A57AB4">
        <w:rPr>
          <w:rFonts w:ascii="Times New Roman" w:hAnsi="Times New Roman" w:cs="Times New Roman"/>
          <w:sz w:val="28"/>
          <w:szCs w:val="28"/>
        </w:rPr>
        <w:t xml:space="preserve"> </w:t>
      </w:r>
      <w:r w:rsidRPr="00A57AB4">
        <w:rPr>
          <w:rFonts w:ascii="Times New Roman" w:hAnsi="Times New Roman" w:cs="Times New Roman"/>
          <w:sz w:val="28"/>
          <w:szCs w:val="28"/>
        </w:rPr>
        <w:t xml:space="preserve">30.436/1986, RES. CONAMA 358, Lei 6.320/83 e </w:t>
      </w:r>
      <w:r w:rsidR="00FD08B2" w:rsidRPr="00A57AB4">
        <w:rPr>
          <w:rFonts w:ascii="Arial" w:hAnsi="Arial" w:cs="Arial"/>
          <w:color w:val="111111"/>
          <w:sz w:val="27"/>
          <w:szCs w:val="27"/>
          <w:shd w:val="clear" w:color="auto" w:fill="FFFFFF"/>
        </w:rPr>
        <w:t>LEI COMPLEMENTAR Nº 84/95</w:t>
      </w:r>
      <w:r w:rsidR="00FD08B2" w:rsidRPr="00A57AB4">
        <w:rPr>
          <w:rStyle w:val="Forte"/>
          <w:rFonts w:ascii="Arial" w:hAnsi="Arial" w:cs="Arial"/>
          <w:color w:val="111111"/>
          <w:sz w:val="27"/>
          <w:szCs w:val="27"/>
          <w:shd w:val="clear" w:color="auto" w:fill="FFFFFF"/>
        </w:rPr>
        <w:t> INSTITUI O CÓDIGO DE SAÚDE DO MUNICÍPIO DE BLUMENAU</w:t>
      </w:r>
      <w:r w:rsidR="00FD08B2" w:rsidRPr="00A57AB4">
        <w:rPr>
          <w:rFonts w:ascii="Times New Roman" w:hAnsi="Times New Roman" w:cs="Times New Roman"/>
          <w:sz w:val="28"/>
          <w:szCs w:val="28"/>
        </w:rPr>
        <w:t xml:space="preserve">, outras </w:t>
      </w:r>
      <w:r w:rsidRPr="00A57AB4">
        <w:rPr>
          <w:rFonts w:ascii="Times New Roman" w:hAnsi="Times New Roman" w:cs="Times New Roman"/>
          <w:sz w:val="28"/>
          <w:szCs w:val="28"/>
        </w:rPr>
        <w:t>leis</w:t>
      </w:r>
      <w:r w:rsidR="00FD08B2" w:rsidRPr="00A57AB4">
        <w:rPr>
          <w:rFonts w:ascii="Times New Roman" w:hAnsi="Times New Roman" w:cs="Times New Roman"/>
          <w:sz w:val="28"/>
          <w:szCs w:val="28"/>
        </w:rPr>
        <w:t xml:space="preserve"> </w:t>
      </w:r>
      <w:r w:rsidRPr="00A57AB4">
        <w:rPr>
          <w:rFonts w:ascii="Times New Roman" w:hAnsi="Times New Roman" w:cs="Times New Roman"/>
          <w:sz w:val="28"/>
          <w:szCs w:val="28"/>
        </w:rPr>
        <w:t xml:space="preserve">complementares, Plano Diretor do Município de Blumenau e leis complementares, normas da ABNT. </w:t>
      </w:r>
    </w:p>
    <w:p w:rsidR="001B152B" w:rsidRPr="00A57AB4" w:rsidRDefault="00C97D27" w:rsidP="00A57AB4">
      <w:pPr>
        <w:jc w:val="right"/>
        <w:rPr>
          <w:rFonts w:ascii="Times New Roman" w:hAnsi="Times New Roman" w:cs="Times New Roman"/>
          <w:sz w:val="28"/>
          <w:szCs w:val="28"/>
        </w:rPr>
      </w:pPr>
      <w:r w:rsidRPr="00A57AB4">
        <w:rPr>
          <w:rFonts w:ascii="Times New Roman" w:hAnsi="Times New Roman" w:cs="Times New Roman"/>
          <w:sz w:val="28"/>
          <w:szCs w:val="28"/>
        </w:rPr>
        <w:t xml:space="preserve">Blumenau, </w:t>
      </w:r>
      <w:r w:rsidR="00FD08B2" w:rsidRPr="00A57AB4">
        <w:rPr>
          <w:rFonts w:ascii="Times New Roman" w:hAnsi="Times New Roman" w:cs="Times New Roman"/>
          <w:sz w:val="28"/>
          <w:szCs w:val="28"/>
        </w:rPr>
        <w:t>fevereiro 2022</w:t>
      </w:r>
      <w:r w:rsidRPr="00A57AB4">
        <w:rPr>
          <w:rFonts w:ascii="Times New Roman" w:hAnsi="Times New Roman" w:cs="Times New Roman"/>
          <w:sz w:val="28"/>
          <w:szCs w:val="28"/>
        </w:rPr>
        <w:t>.</w:t>
      </w:r>
    </w:p>
    <w:p w:rsidR="00A57AB4" w:rsidRPr="00A57AB4" w:rsidRDefault="00A57AB4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A57AB4" w:rsidRPr="00A57AB4" w:rsidSect="001B15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E3098"/>
    <w:multiLevelType w:val="hybridMultilevel"/>
    <w:tmpl w:val="EAAEAB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040EBD"/>
    <w:multiLevelType w:val="hybridMultilevel"/>
    <w:tmpl w:val="0456AC80"/>
    <w:lvl w:ilvl="0" w:tplc="FCD4E50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97D27"/>
    <w:rsid w:val="001B152B"/>
    <w:rsid w:val="002E57F5"/>
    <w:rsid w:val="00434285"/>
    <w:rsid w:val="0050154C"/>
    <w:rsid w:val="00A57AB4"/>
    <w:rsid w:val="00C97D27"/>
    <w:rsid w:val="00CE2FC8"/>
    <w:rsid w:val="00D9489B"/>
    <w:rsid w:val="00FD0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5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97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7D2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97D27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FD08B2"/>
    <w:rPr>
      <w:b/>
      <w:bCs/>
    </w:rPr>
  </w:style>
  <w:style w:type="paragraph" w:styleId="PargrafodaLista">
    <w:name w:val="List Paragraph"/>
    <w:basedOn w:val="Normal"/>
    <w:uiPriority w:val="34"/>
    <w:qFormat/>
    <w:rsid w:val="00A57A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lumenau.sc.gov.br/secretarias/secretaria-de-saude/pagina/estrutura-semus/vigilancias-sem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aliseprojetos.visa@blumenau.sc.gov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198404</dc:creator>
  <cp:lastModifiedBy>181110</cp:lastModifiedBy>
  <cp:revision>3</cp:revision>
  <dcterms:created xsi:type="dcterms:W3CDTF">2023-02-22T14:02:00Z</dcterms:created>
  <dcterms:modified xsi:type="dcterms:W3CDTF">2023-02-22T14:02:00Z</dcterms:modified>
</cp:coreProperties>
</file>